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C2" w:rsidRDefault="00DA7FF2" w:rsidP="00DA7FF2">
      <w:pPr>
        <w:shd w:val="clear" w:color="auto" w:fill="FFFFFF"/>
        <w:spacing w:after="0" w:line="240" w:lineRule="auto"/>
        <w:ind w:firstLine="709"/>
        <w:jc w:val="right"/>
        <w:rPr>
          <w:rFonts w:ascii="Times New Roman" w:eastAsia="Times New Roman" w:hAnsi="Times New Roman" w:cs="Times New Roman"/>
          <w:b/>
          <w:bCs/>
          <w:color w:val="000000" w:themeColor="text1"/>
          <w:sz w:val="32"/>
          <w:szCs w:val="32"/>
          <w:bdr w:val="none" w:sz="0" w:space="0" w:color="auto" w:frame="1"/>
          <w:shd w:val="clear" w:color="auto" w:fill="FFFFFF"/>
          <w:lang w:eastAsia="ru-RU"/>
        </w:rPr>
      </w:pPr>
      <w:bookmarkStart w:id="0" w:name="n16"/>
      <w:bookmarkStart w:id="1" w:name="_GoBack"/>
      <w:bookmarkEnd w:id="0"/>
      <w:bookmarkEnd w:id="1"/>
      <w:r w:rsidRPr="00AF61C2">
        <w:rPr>
          <w:rFonts w:ascii="Times New Roman" w:eastAsia="Times New Roman" w:hAnsi="Times New Roman" w:cs="Times New Roman"/>
          <w:b/>
          <w:bCs/>
          <w:color w:val="000000"/>
          <w:sz w:val="24"/>
          <w:szCs w:val="24"/>
          <w:bdr w:val="none" w:sz="0" w:space="0" w:color="auto" w:frame="1"/>
          <w:lang w:eastAsia="ru-RU"/>
        </w:rPr>
        <w:t>ЗАТВЕРДЖЕНО</w:t>
      </w:r>
      <w:r w:rsidRPr="00AF61C2">
        <w:rPr>
          <w:rFonts w:ascii="Calibri" w:eastAsia="Times New Roman" w:hAnsi="Calibri" w:cs="Times New Roman"/>
          <w:bdr w:val="none" w:sz="0" w:space="0" w:color="auto" w:frame="1"/>
          <w:lang w:eastAsia="ru-RU"/>
        </w:rPr>
        <w:br/>
      </w:r>
      <w:r w:rsidRPr="00AF61C2">
        <w:rPr>
          <w:rFonts w:ascii="Times New Roman" w:eastAsia="Times New Roman" w:hAnsi="Times New Roman" w:cs="Times New Roman"/>
          <w:b/>
          <w:bCs/>
          <w:color w:val="000000"/>
          <w:sz w:val="24"/>
          <w:szCs w:val="24"/>
          <w:bdr w:val="none" w:sz="0" w:space="0" w:color="auto" w:frame="1"/>
          <w:lang w:eastAsia="ru-RU"/>
        </w:rPr>
        <w:t>Наказ Міністерства</w:t>
      </w:r>
      <w:r w:rsidRPr="00AF61C2">
        <w:rPr>
          <w:rFonts w:ascii="Times New Roman" w:eastAsia="Times New Roman" w:hAnsi="Times New Roman" w:cs="Times New Roman"/>
          <w:sz w:val="24"/>
          <w:szCs w:val="24"/>
          <w:bdr w:val="none" w:sz="0" w:space="0" w:color="auto" w:frame="1"/>
          <w:lang w:eastAsia="ru-RU"/>
        </w:rPr>
        <w:br/>
      </w:r>
      <w:r w:rsidRPr="00AF61C2">
        <w:rPr>
          <w:rFonts w:ascii="Times New Roman" w:eastAsia="Times New Roman" w:hAnsi="Times New Roman" w:cs="Times New Roman"/>
          <w:b/>
          <w:bCs/>
          <w:color w:val="000000"/>
          <w:sz w:val="24"/>
          <w:szCs w:val="24"/>
          <w:bdr w:val="none" w:sz="0" w:space="0" w:color="auto" w:frame="1"/>
          <w:lang w:eastAsia="ru-RU"/>
        </w:rPr>
        <w:t>освіти і науки України</w:t>
      </w:r>
      <w:r w:rsidRPr="00AF61C2">
        <w:rPr>
          <w:rFonts w:ascii="Times New Roman" w:eastAsia="Times New Roman" w:hAnsi="Times New Roman" w:cs="Times New Roman"/>
          <w:sz w:val="24"/>
          <w:szCs w:val="24"/>
          <w:bdr w:val="none" w:sz="0" w:space="0" w:color="auto" w:frame="1"/>
          <w:lang w:eastAsia="ru-RU"/>
        </w:rPr>
        <w:br/>
      </w:r>
      <w:r w:rsidRPr="00AF61C2">
        <w:rPr>
          <w:rFonts w:ascii="Times New Roman" w:eastAsia="Times New Roman" w:hAnsi="Times New Roman" w:cs="Times New Roman"/>
          <w:b/>
          <w:bCs/>
          <w:color w:val="000000"/>
          <w:sz w:val="24"/>
          <w:szCs w:val="24"/>
          <w:bdr w:val="none" w:sz="0" w:space="0" w:color="auto" w:frame="1"/>
          <w:lang w:eastAsia="ru-RU"/>
        </w:rPr>
        <w:t>28 грудня 2019 року № 1646</w:t>
      </w:r>
    </w:p>
    <w:p w:rsidR="00AF61C2" w:rsidRPr="00AF61C2" w:rsidRDefault="00AF61C2" w:rsidP="00AF61C2">
      <w:pPr>
        <w:shd w:val="clear" w:color="auto" w:fill="FFFFFF"/>
        <w:spacing w:after="0" w:line="240" w:lineRule="auto"/>
        <w:ind w:firstLine="709"/>
        <w:jc w:val="center"/>
        <w:rPr>
          <w:rFonts w:ascii="Times New Roman" w:eastAsia="Times New Roman" w:hAnsi="Times New Roman" w:cs="Times New Roman"/>
          <w:color w:val="000000" w:themeColor="text1"/>
          <w:sz w:val="32"/>
          <w:szCs w:val="32"/>
          <w:lang w:eastAsia="ru-RU"/>
        </w:rPr>
      </w:pPr>
      <w:r w:rsidRPr="00AF61C2">
        <w:rPr>
          <w:rFonts w:ascii="Times New Roman" w:eastAsia="Times New Roman" w:hAnsi="Times New Roman" w:cs="Times New Roman"/>
          <w:b/>
          <w:bCs/>
          <w:color w:val="000000" w:themeColor="text1"/>
          <w:sz w:val="32"/>
          <w:szCs w:val="32"/>
          <w:bdr w:val="none" w:sz="0" w:space="0" w:color="auto" w:frame="1"/>
          <w:shd w:val="clear" w:color="auto" w:fill="FFFFFF"/>
          <w:lang w:eastAsia="ru-RU"/>
        </w:rPr>
        <w:t>ПОРЯДОК</w:t>
      </w:r>
      <w:r w:rsidRPr="00AF61C2">
        <w:rPr>
          <w:rFonts w:ascii="Times New Roman" w:eastAsia="Times New Roman" w:hAnsi="Times New Roman" w:cs="Times New Roman"/>
          <w:color w:val="000000" w:themeColor="text1"/>
          <w:sz w:val="32"/>
          <w:szCs w:val="32"/>
          <w:bdr w:val="none" w:sz="0" w:space="0" w:color="auto" w:frame="1"/>
          <w:shd w:val="clear" w:color="auto" w:fill="FFFFFF"/>
          <w:lang w:eastAsia="ru-RU"/>
        </w:rPr>
        <w:br/>
      </w:r>
      <w:r w:rsidRPr="00AF61C2">
        <w:rPr>
          <w:rFonts w:ascii="Times New Roman" w:eastAsia="Times New Roman" w:hAnsi="Times New Roman" w:cs="Times New Roman"/>
          <w:b/>
          <w:bCs/>
          <w:color w:val="000000" w:themeColor="text1"/>
          <w:sz w:val="32"/>
          <w:szCs w:val="32"/>
          <w:bdr w:val="none" w:sz="0" w:space="0" w:color="auto" w:frame="1"/>
          <w:shd w:val="clear" w:color="auto" w:fill="FFFFFF"/>
          <w:lang w:eastAsia="ru-RU"/>
        </w:rPr>
        <w:t>реагування на випадки булінгу (цькування)</w:t>
      </w:r>
    </w:p>
    <w:p w:rsidR="00AF61C2" w:rsidRDefault="00AF61C2" w:rsidP="00AF61C2">
      <w:pPr>
        <w:shd w:val="clear" w:color="auto" w:fill="FFFFFF"/>
        <w:spacing w:after="0" w:line="240" w:lineRule="auto"/>
        <w:ind w:firstLine="709"/>
        <w:jc w:val="center"/>
        <w:rPr>
          <w:rFonts w:ascii="Times New Roman" w:eastAsia="Times New Roman" w:hAnsi="Times New Roman" w:cs="Times New Roman"/>
          <w:b/>
          <w:bCs/>
          <w:color w:val="000000" w:themeColor="text1"/>
          <w:sz w:val="32"/>
          <w:szCs w:val="32"/>
          <w:bdr w:val="none" w:sz="0" w:space="0" w:color="auto" w:frame="1"/>
          <w:shd w:val="clear" w:color="auto" w:fill="FFFFFF"/>
          <w:lang w:eastAsia="ru-RU"/>
        </w:rPr>
      </w:pPr>
      <w:r w:rsidRPr="00AF61C2">
        <w:rPr>
          <w:rFonts w:ascii="Times New Roman" w:eastAsia="Times New Roman" w:hAnsi="Times New Roman" w:cs="Times New Roman"/>
          <w:b/>
          <w:bCs/>
          <w:color w:val="000000" w:themeColor="text1"/>
          <w:sz w:val="32"/>
          <w:szCs w:val="32"/>
          <w:bdr w:val="none" w:sz="0" w:space="0" w:color="auto" w:frame="1"/>
          <w:shd w:val="clear" w:color="auto" w:fill="FFFFFF"/>
          <w:lang w:eastAsia="ru-RU"/>
        </w:rPr>
        <w:t xml:space="preserve">I. </w:t>
      </w:r>
      <w:bookmarkStart w:id="2" w:name="n17"/>
      <w:bookmarkEnd w:id="2"/>
      <w:r w:rsidRPr="00AF61C2">
        <w:rPr>
          <w:rFonts w:ascii="Times New Roman" w:eastAsia="Times New Roman" w:hAnsi="Times New Roman" w:cs="Times New Roman"/>
          <w:b/>
          <w:bCs/>
          <w:color w:val="000000" w:themeColor="text1"/>
          <w:sz w:val="32"/>
          <w:szCs w:val="32"/>
          <w:bdr w:val="none" w:sz="0" w:space="0" w:color="auto" w:frame="1"/>
          <w:shd w:val="clear" w:color="auto" w:fill="FFFFFF"/>
          <w:lang w:eastAsia="ru-RU"/>
        </w:rPr>
        <w:t>Загальні положення</w:t>
      </w:r>
    </w:p>
    <w:p w:rsidR="007F56B8" w:rsidRPr="00AF61C2" w:rsidRDefault="007F56B8" w:rsidP="00AF61C2">
      <w:pPr>
        <w:shd w:val="clear" w:color="auto" w:fill="FFFFFF"/>
        <w:spacing w:after="0" w:line="240" w:lineRule="auto"/>
        <w:ind w:firstLine="709"/>
        <w:jc w:val="center"/>
        <w:rPr>
          <w:rFonts w:ascii="Times New Roman" w:eastAsia="Times New Roman" w:hAnsi="Times New Roman" w:cs="Times New Roman"/>
          <w:color w:val="000000" w:themeColor="text1"/>
          <w:sz w:val="32"/>
          <w:szCs w:val="32"/>
          <w:lang w:eastAsia="ru-RU"/>
        </w:rPr>
      </w:pP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 w:name="n18"/>
      <w:bookmarkEnd w:id="3"/>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 w:name="n19"/>
      <w:bookmarkEnd w:id="4"/>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2. Терміни, використані у цьому Порядку, вживаються у таких значеннях:</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 w:name="n20"/>
      <w:bookmarkEnd w:id="5"/>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 w:name="n21"/>
      <w:bookmarkEnd w:id="6"/>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 w:name="n22"/>
      <w:bookmarkEnd w:id="7"/>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спостерігачі - свідки та (або) безпосередні очевидці випадку булінгу (цькування);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8" w:name="n23"/>
      <w:bookmarkEnd w:id="8"/>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сторони булінгу (цькування) - безпосередні учасники випадку: кривдник (булер), потерпілий (жертва булінгу), спостерігачі (за наявності).</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9" w:name="n24"/>
      <w:bookmarkEnd w:id="9"/>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Інші терміни вживаються у значеннях, наведених у Законах України </w:t>
      </w:r>
      <w:hyperlink r:id="rId5" w:tgtFrame="_blank" w:history="1">
        <w:r w:rsidRPr="00AF61C2">
          <w:rPr>
            <w:rFonts w:ascii="Times New Roman" w:eastAsia="Times New Roman" w:hAnsi="Times New Roman" w:cs="Times New Roman"/>
            <w:color w:val="000000" w:themeColor="text1"/>
            <w:sz w:val="24"/>
            <w:szCs w:val="24"/>
            <w:u w:val="single"/>
            <w:bdr w:val="none" w:sz="0" w:space="0" w:color="auto" w:frame="1"/>
            <w:shd w:val="clear" w:color="auto" w:fill="FFFFFF"/>
            <w:lang w:eastAsia="ru-RU"/>
          </w:rPr>
          <w:t>«Про освіту»</w:t>
        </w:r>
      </w:hyperlink>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 </w:t>
      </w:r>
      <w:hyperlink r:id="rId6" w:tgtFrame="_blank" w:history="1">
        <w:r w:rsidRPr="00AF61C2">
          <w:rPr>
            <w:rFonts w:ascii="Times New Roman" w:eastAsia="Times New Roman" w:hAnsi="Times New Roman" w:cs="Times New Roman"/>
            <w:color w:val="000000" w:themeColor="text1"/>
            <w:sz w:val="24"/>
            <w:szCs w:val="24"/>
            <w:u w:val="single"/>
            <w:bdr w:val="none" w:sz="0" w:space="0" w:color="auto" w:frame="1"/>
            <w:shd w:val="clear" w:color="auto" w:fill="FFFFFF"/>
            <w:lang w:eastAsia="ru-RU"/>
          </w:rPr>
          <w:t>«Про соціальні послуги»</w:t>
        </w:r>
      </w:hyperlink>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 </w:t>
      </w:r>
      <w:hyperlink r:id="rId7" w:tgtFrame="_blank" w:history="1">
        <w:r w:rsidRPr="00AF61C2">
          <w:rPr>
            <w:rFonts w:ascii="Times New Roman" w:eastAsia="Times New Roman" w:hAnsi="Times New Roman" w:cs="Times New Roman"/>
            <w:color w:val="000000" w:themeColor="text1"/>
            <w:sz w:val="24"/>
            <w:szCs w:val="24"/>
            <w:u w:val="single"/>
            <w:bdr w:val="none" w:sz="0" w:space="0" w:color="auto" w:frame="1"/>
            <w:shd w:val="clear" w:color="auto" w:fill="FFFFFF"/>
            <w:lang w:eastAsia="ru-RU"/>
          </w:rPr>
          <w:t>«Про соціальну роботу з сім’ями, дітьми та молоддю»</w:t>
        </w:r>
      </w:hyperlink>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 </w:t>
      </w:r>
      <w:hyperlink r:id="rId8" w:tgtFrame="_blank" w:history="1">
        <w:r w:rsidRPr="00AF61C2">
          <w:rPr>
            <w:rFonts w:ascii="Times New Roman" w:eastAsia="Times New Roman" w:hAnsi="Times New Roman" w:cs="Times New Roman"/>
            <w:color w:val="000000" w:themeColor="text1"/>
            <w:sz w:val="24"/>
            <w:szCs w:val="24"/>
            <w:u w:val="single"/>
            <w:bdr w:val="none" w:sz="0" w:space="0" w:color="auto" w:frame="1"/>
            <w:shd w:val="clear" w:color="auto" w:fill="FFFFFF"/>
            <w:lang w:eastAsia="ru-RU"/>
          </w:rPr>
          <w:t>«Про забезпечення рівних прав та можливостей жінок і чоловіків»</w:t>
        </w:r>
      </w:hyperlink>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 </w:t>
      </w:r>
      <w:hyperlink r:id="rId9" w:tgtFrame="_blank" w:history="1">
        <w:r w:rsidRPr="00AF61C2">
          <w:rPr>
            <w:rFonts w:ascii="Times New Roman" w:eastAsia="Times New Roman" w:hAnsi="Times New Roman" w:cs="Times New Roman"/>
            <w:color w:val="000000" w:themeColor="text1"/>
            <w:sz w:val="24"/>
            <w:szCs w:val="24"/>
            <w:u w:val="single"/>
            <w:bdr w:val="none" w:sz="0" w:space="0" w:color="auto" w:frame="1"/>
            <w:shd w:val="clear" w:color="auto" w:fill="FFFFFF"/>
            <w:lang w:eastAsia="ru-RU"/>
          </w:rPr>
          <w:t>«Про засади запобігання та протидії дискримінації в Україні»</w:t>
        </w:r>
      </w:hyperlink>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0" w:name="n25"/>
      <w:bookmarkEnd w:id="10"/>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3. Проявами, які можуть бути підставами для підозри в наявності випадку булінгу (цькування) учасника освітнього процесу в закладі освіти, є:</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1" w:name="n26"/>
      <w:bookmarkEnd w:id="11"/>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замкнутість, тривожність, страх або, навпаки, демонстрація повної відсутності страху, ризикована, зухвала поведінка;</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2" w:name="n27"/>
      <w:bookmarkEnd w:id="12"/>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неврівноважена поведінка;</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3" w:name="n28"/>
      <w:bookmarkEnd w:id="13"/>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агресивність, напади люті, схильність до руйнації, нищення, насильства;</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4" w:name="n29"/>
      <w:bookmarkEnd w:id="14"/>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різка зміна звичної для дитини поведінки;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5" w:name="n30"/>
      <w:bookmarkEnd w:id="15"/>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уповільнене мислення, знижена здатність до навчання;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6" w:name="n31"/>
      <w:bookmarkEnd w:id="16"/>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відлюдкуватість, уникнення спілкування;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7" w:name="n32"/>
      <w:bookmarkEnd w:id="17"/>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ізоляція, виключення з групи, небажання інших учасників освітнього процесу спілкуватися;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8" w:name="n33"/>
      <w:bookmarkEnd w:id="18"/>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занижена самооцінка, наявність почуття провини;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9" w:name="n34"/>
      <w:bookmarkEnd w:id="19"/>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поява швидкої втомлюваності, зниженої спроможності до концентрації уваги;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20" w:name="n35"/>
      <w:bookmarkEnd w:id="20"/>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lastRenderedPageBreak/>
        <w:t>демонстрація страху перед появою інших учасників освітнього процесу;</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21" w:name="n36"/>
      <w:bookmarkEnd w:id="21"/>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схильність до пропуску навчальних занять;</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22" w:name="n37"/>
      <w:bookmarkEnd w:id="22"/>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відмова відвідувати заклад освіти з посиланням на погане самопочуття;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23" w:name="n38"/>
      <w:bookmarkEnd w:id="23"/>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депресивні стани;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24" w:name="n39"/>
      <w:bookmarkEnd w:id="24"/>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аутоагресія (самоушкодження);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25" w:name="n40"/>
      <w:bookmarkEnd w:id="25"/>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суїцидальні прояви;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26" w:name="n41"/>
      <w:bookmarkEnd w:id="26"/>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явні фізичні ушкодження та (або) ознаки поганого самопочуття (нудота, головний біль, кволість тощо);</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27" w:name="n42"/>
      <w:bookmarkEnd w:id="27"/>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намагання приховати травми та обставини їх отримання;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28" w:name="n43"/>
      <w:bookmarkEnd w:id="28"/>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29" w:name="n44"/>
      <w:bookmarkEnd w:id="29"/>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наявність фото-, відео- та аудіоматеріалів фізичних або психологічних знущань, сексуального (інтимного) змісту;</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0" w:name="n45"/>
      <w:bookmarkEnd w:id="30"/>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наявні пошкодження або зникнення майна та (або) особистих речей.</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1" w:name="n46"/>
      <w:bookmarkEnd w:id="31"/>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2" w:name="n47"/>
      <w:bookmarkEnd w:id="32"/>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3" w:name="n48"/>
      <w:bookmarkEnd w:id="33"/>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4" w:name="n49"/>
      <w:bookmarkEnd w:id="34"/>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5" w:name="n50"/>
      <w:bookmarkEnd w:id="35"/>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6" w:name="n51"/>
      <w:bookmarkEnd w:id="36"/>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lastRenderedPageBreak/>
        <w:t>будь-яка форма небажаної фізичної поведінки, зокрема ляпаси, стусани, штовхання, щипання, шмагання, кусання, завдання ударів;</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7" w:name="n52"/>
      <w:bookmarkEnd w:id="37"/>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інші правопорушення насильницького характеру.</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8" w:name="n53"/>
      <w:bookmarkEnd w:id="38"/>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5. Суб’єктами реагування у разі настання випадку булінгу (цькування) в закладах освіти (далі - суб’єкти реагування) є:</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39" w:name="n54"/>
      <w:bookmarkEnd w:id="39"/>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служба освітнього омбудсмена;</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0" w:name="n55"/>
      <w:bookmarkEnd w:id="40"/>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служби у справах дітей;</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1" w:name="n56"/>
      <w:bookmarkEnd w:id="41"/>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центри соціальних служб для сім’ї, дітей та молоді;</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2" w:name="n57"/>
      <w:bookmarkEnd w:id="42"/>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органи місцевого самоврядування;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3" w:name="n58"/>
      <w:bookmarkEnd w:id="43"/>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керівники та інші працівники закладів освіти;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4" w:name="n59"/>
      <w:bookmarkEnd w:id="44"/>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засновник (засновники) закладів освіти або уповноважений ним (ними) орган;</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5" w:name="n60"/>
      <w:bookmarkEnd w:id="45"/>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територіальні органи (підрозділи) Національної поліції України.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6" w:name="n61"/>
      <w:bookmarkEnd w:id="46"/>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7" w:name="n62"/>
      <w:bookmarkEnd w:id="47"/>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8" w:name="n63"/>
      <w:bookmarkEnd w:id="48"/>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7. Педагогічні (науково-педагогічні) та інші працівники закладу освіти у разі, якщо вони виявляють булінг (цькування), зобов’язані:</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9" w:name="n64"/>
      <w:bookmarkEnd w:id="49"/>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вжити невідкладних заходів для припинення небезпечного впливу;</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0" w:name="n65"/>
      <w:bookmarkEnd w:id="50"/>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1" w:name="n66"/>
      <w:bookmarkEnd w:id="51"/>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звернутись (за потреби) до територіальних органів (підрозділів) Національної поліції України;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2" w:name="n67"/>
      <w:bookmarkEnd w:id="52"/>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DA7FF2" w:rsidRDefault="00DA7FF2" w:rsidP="00DA7FF2">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bdr w:val="none" w:sz="0" w:space="0" w:color="auto" w:frame="1"/>
          <w:shd w:val="clear" w:color="auto" w:fill="FFFFFF"/>
          <w:lang w:eastAsia="ru-RU"/>
        </w:rPr>
      </w:pPr>
      <w:bookmarkStart w:id="53" w:name="n68"/>
      <w:bookmarkEnd w:id="53"/>
    </w:p>
    <w:p w:rsidR="00AF61C2" w:rsidRPr="00AF61C2" w:rsidRDefault="00AF61C2" w:rsidP="00DA7FF2">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AF61C2">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II. Подання заяв або повідомлень про випадки булінгу (цькування) в закладі освіти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4" w:name="n69"/>
      <w:bookmarkEnd w:id="54"/>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w:t>
      </w:r>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lastRenderedPageBreak/>
        <w:t>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5" w:name="n70"/>
      <w:bookmarkEnd w:id="55"/>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У закладі освіти заяви або повідомлення про випадок булінгу (цькування) або підозру щодо його вчинення приймає керівник закладу.</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6" w:name="n71"/>
      <w:bookmarkEnd w:id="56"/>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Повідомлення можуть бути в усній та (або) письмовій формі, в тому числі із застосуванням засобів електронної комунікації.</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7" w:name="n72"/>
      <w:bookmarkEnd w:id="57"/>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2. Керівник закладу освіти у разі отримання заяви або повідомлення про випадок булінгу (цькування):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8" w:name="n73"/>
      <w:bookmarkEnd w:id="58"/>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9" w:name="n74"/>
      <w:bookmarkEnd w:id="59"/>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за потреби викликає бригаду екстреної (швидкої) медичної допомоги для надання екстреної медичної допомоги;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0" w:name="n75"/>
      <w:bookmarkEnd w:id="60"/>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1" w:name="n76"/>
      <w:bookmarkEnd w:id="61"/>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2" w:name="n77"/>
      <w:bookmarkEnd w:id="62"/>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DA7FF2" w:rsidRDefault="00DA7FF2" w:rsidP="00DA7FF2">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bdr w:val="none" w:sz="0" w:space="0" w:color="auto" w:frame="1"/>
          <w:shd w:val="clear" w:color="auto" w:fill="FFFFFF"/>
          <w:lang w:eastAsia="ru-RU"/>
        </w:rPr>
      </w:pPr>
      <w:bookmarkStart w:id="63" w:name="n78"/>
      <w:bookmarkEnd w:id="63"/>
    </w:p>
    <w:p w:rsidR="00AF61C2" w:rsidRPr="00AF61C2" w:rsidRDefault="00AF61C2" w:rsidP="00DA7FF2">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AF61C2">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III. Склад комісії, права та обов’язки її членів</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4" w:name="n79"/>
      <w:bookmarkEnd w:id="64"/>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1. Склад комісії затверджує наказом керівник закладу освіти.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5" w:name="n80"/>
      <w:bookmarkEnd w:id="65"/>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Комісія виконує свої обов’язки на постійній основі.</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6" w:name="n81"/>
      <w:bookmarkEnd w:id="66"/>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2. Склад комісії формується з урахуванням основних завдань комісії.</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7" w:name="n82"/>
      <w:bookmarkEnd w:id="67"/>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Комісія складається з голови, заступника голови, секретаря та не менше ніж п’яти її членів.</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8" w:name="n83"/>
      <w:bookmarkEnd w:id="68"/>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9" w:name="n84"/>
      <w:bookmarkEnd w:id="69"/>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lastRenderedPageBreak/>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0" w:name="n85"/>
      <w:bookmarkEnd w:id="70"/>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3. Головою комісії є керівник закладу освіти.</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1" w:name="n86"/>
      <w:bookmarkEnd w:id="71"/>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2" w:name="n87"/>
      <w:bookmarkEnd w:id="72"/>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3" w:name="n88"/>
      <w:bookmarkEnd w:id="73"/>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4" w:name="n89"/>
      <w:bookmarkEnd w:id="74"/>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5" w:name="n90"/>
      <w:bookmarkEnd w:id="75"/>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6" w:name="n91"/>
      <w:bookmarkEnd w:id="76"/>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5. Член комісії має право:</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7" w:name="n92"/>
      <w:bookmarkEnd w:id="77"/>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ознайомлюватися з матеріалами, що стосуються випадку булінгу (цькування), брати участь у їх перевірці;</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8" w:name="n93"/>
      <w:bookmarkEnd w:id="78"/>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подавати пропозиції, висловлювати власну думку з питань, що розглядаються;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79" w:name="n94"/>
      <w:bookmarkEnd w:id="79"/>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брати участь у прийнятті рішення шляхом голосування;</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80" w:name="n95"/>
      <w:bookmarkEnd w:id="80"/>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висловлювати окрему думку усно або письмово;</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81" w:name="n96"/>
      <w:bookmarkEnd w:id="81"/>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вносити пропозиції до порядку денного засідання комісії.</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82" w:name="n97"/>
      <w:bookmarkEnd w:id="82"/>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6. Член комісії зобов’язаний:</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83" w:name="n98"/>
      <w:bookmarkEnd w:id="83"/>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особисто брати участь у роботі комісії;</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84" w:name="n99"/>
      <w:bookmarkEnd w:id="84"/>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85" w:name="n100"/>
      <w:bookmarkEnd w:id="85"/>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виконувати в межах, передбачених законодавством та посадовими обов’язками, доручення голови комісії;</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86" w:name="n101"/>
      <w:bookmarkEnd w:id="86"/>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брати участь у голосуванні.</w:t>
      </w:r>
    </w:p>
    <w:p w:rsidR="00DA7FF2" w:rsidRDefault="00DA7FF2" w:rsidP="00DA7FF2">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bdr w:val="none" w:sz="0" w:space="0" w:color="auto" w:frame="1"/>
          <w:shd w:val="clear" w:color="auto" w:fill="FFFFFF"/>
          <w:lang w:eastAsia="ru-RU"/>
        </w:rPr>
      </w:pPr>
      <w:bookmarkStart w:id="87" w:name="n102"/>
      <w:bookmarkEnd w:id="87"/>
    </w:p>
    <w:p w:rsidR="00AF61C2" w:rsidRPr="00AF61C2" w:rsidRDefault="00AF61C2" w:rsidP="00DA7FF2">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AF61C2">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IV. Порядок роботи комісії</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88" w:name="n103"/>
      <w:bookmarkEnd w:id="88"/>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w:t>
      </w:r>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lastRenderedPageBreak/>
        <w:t>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89" w:name="n104"/>
      <w:bookmarkEnd w:id="89"/>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2. Діяльність комісії здійснюється на принципах:</w:t>
      </w:r>
    </w:p>
    <w:p w:rsidR="00AF61C2" w:rsidRPr="00AF61C2" w:rsidRDefault="00AF61C2" w:rsidP="00AF61C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90" w:name="n105"/>
      <w:bookmarkEnd w:id="90"/>
      <w:r w:rsidRPr="00AF61C2">
        <w:rPr>
          <w:rFonts w:ascii="Times New Roman" w:eastAsia="Times New Roman" w:hAnsi="Times New Roman" w:cs="Times New Roman"/>
          <w:color w:val="000000" w:themeColor="text1"/>
          <w:sz w:val="24"/>
          <w:szCs w:val="24"/>
          <w:bdr w:val="none" w:sz="0" w:space="0" w:color="auto" w:frame="1"/>
          <w:shd w:val="clear" w:color="auto" w:fill="FFFFFF"/>
          <w:lang w:eastAsia="ru-RU"/>
        </w:rPr>
        <w:t>законності;</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r w:rsidRPr="00AF61C2">
        <w:rPr>
          <w:color w:val="000000" w:themeColor="text1"/>
        </w:rPr>
        <w:t>верховенства права;</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91" w:name="n107"/>
      <w:bookmarkEnd w:id="91"/>
      <w:r w:rsidRPr="00AF61C2">
        <w:rPr>
          <w:color w:val="000000" w:themeColor="text1"/>
        </w:rPr>
        <w:t>поваги та дотримання прав і свобод людини;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92" w:name="n108"/>
      <w:bookmarkEnd w:id="92"/>
      <w:r w:rsidRPr="00AF61C2">
        <w:rPr>
          <w:color w:val="000000" w:themeColor="text1"/>
        </w:rPr>
        <w:t>неупередженого ставлення до сторін булінгу (цькування);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93" w:name="n109"/>
      <w:bookmarkEnd w:id="93"/>
      <w:r w:rsidRPr="00AF61C2">
        <w:rPr>
          <w:color w:val="000000" w:themeColor="text1"/>
        </w:rPr>
        <w:t>відкритості та прозорості;</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94" w:name="n110"/>
      <w:bookmarkEnd w:id="94"/>
      <w:r w:rsidRPr="00AF61C2">
        <w:rPr>
          <w:color w:val="000000" w:themeColor="text1"/>
        </w:rPr>
        <w:t>конфіденційності та захисту персональних даних;</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95" w:name="n111"/>
      <w:bookmarkEnd w:id="95"/>
      <w:r w:rsidRPr="00AF61C2">
        <w:rPr>
          <w:color w:val="000000" w:themeColor="text1"/>
        </w:rPr>
        <w:t>невідкладного реагування;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96" w:name="n112"/>
      <w:bookmarkEnd w:id="96"/>
      <w:r w:rsidRPr="00AF61C2">
        <w:rPr>
          <w:color w:val="000000" w:themeColor="text1"/>
        </w:rPr>
        <w:t>комплексного підходу до розгляду випадку булінгу (цькування);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97" w:name="n113"/>
      <w:bookmarkEnd w:id="97"/>
      <w:r w:rsidRPr="00AF61C2">
        <w:rPr>
          <w:color w:val="000000" w:themeColor="text1"/>
        </w:rPr>
        <w:t>нетерпимості до булінгу (цькування) та визнання його суспільної небезпеки.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98" w:name="n114"/>
      <w:bookmarkEnd w:id="98"/>
      <w:r w:rsidRPr="00AF61C2">
        <w:rPr>
          <w:color w:val="000000" w:themeColor="text1"/>
        </w:rPr>
        <w:t>Комісія у своїй діяльності забезпечує дотримання вимог Законів України </w:t>
      </w:r>
      <w:hyperlink r:id="rId10" w:tgtFrame="_blank" w:history="1">
        <w:r w:rsidRPr="00AF61C2">
          <w:rPr>
            <w:rStyle w:val="a3"/>
            <w:color w:val="000000" w:themeColor="text1"/>
          </w:rPr>
          <w:t>«Про інформацію»</w:t>
        </w:r>
      </w:hyperlink>
      <w:r w:rsidRPr="00AF61C2">
        <w:rPr>
          <w:color w:val="000000" w:themeColor="text1"/>
        </w:rPr>
        <w:t>, </w:t>
      </w:r>
      <w:hyperlink r:id="rId11" w:tgtFrame="_blank" w:history="1">
        <w:r w:rsidRPr="00AF61C2">
          <w:rPr>
            <w:rStyle w:val="a3"/>
            <w:color w:val="000000" w:themeColor="text1"/>
          </w:rPr>
          <w:t>«Про захист персональних даних»</w:t>
        </w:r>
      </w:hyperlink>
      <w:r w:rsidRPr="00AF61C2">
        <w:rPr>
          <w:color w:val="000000" w:themeColor="text1"/>
        </w:rPr>
        <w:t>.</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99" w:name="n115"/>
      <w:bookmarkEnd w:id="99"/>
      <w:r w:rsidRPr="00AF61C2">
        <w:rPr>
          <w:color w:val="000000" w:themeColor="text1"/>
        </w:rPr>
        <w:t>3. До завдань комісії належать:</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00" w:name="n116"/>
      <w:bookmarkEnd w:id="100"/>
      <w:r w:rsidRPr="00AF61C2">
        <w:rPr>
          <w:color w:val="000000" w:themeColor="text1"/>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01" w:name="n117"/>
      <w:bookmarkEnd w:id="101"/>
      <w:r w:rsidRPr="00AF61C2">
        <w:rPr>
          <w:color w:val="000000" w:themeColor="text1"/>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02" w:name="n118"/>
      <w:bookmarkEnd w:id="102"/>
      <w:r w:rsidRPr="00AF61C2">
        <w:rPr>
          <w:color w:val="000000" w:themeColor="text1"/>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03" w:name="n119"/>
      <w:bookmarkEnd w:id="103"/>
      <w:r w:rsidRPr="00AF61C2">
        <w:rPr>
          <w:color w:val="000000" w:themeColor="text1"/>
        </w:rPr>
        <w:lastRenderedPageBreak/>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04" w:name="n120"/>
      <w:bookmarkEnd w:id="104"/>
      <w:r w:rsidRPr="00AF61C2">
        <w:rPr>
          <w:color w:val="000000" w:themeColor="text1"/>
        </w:rPr>
        <w:t>визначення причин булінгу (цькування) та необхідних заходів для усунення таких причин;</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05" w:name="n121"/>
      <w:bookmarkEnd w:id="105"/>
      <w:r w:rsidRPr="00AF61C2">
        <w:rPr>
          <w:color w:val="000000" w:themeColor="text1"/>
        </w:rPr>
        <w:t>визначення заходів виховного впливу щодо сторін булінгу (цькування) у групі (класі), де стався випадок булінгу (цькування);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06" w:name="n122"/>
      <w:bookmarkEnd w:id="106"/>
      <w:r w:rsidRPr="00AF61C2">
        <w:rPr>
          <w:color w:val="000000" w:themeColor="text1"/>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07" w:name="n123"/>
      <w:bookmarkEnd w:id="107"/>
      <w:r w:rsidRPr="00AF61C2">
        <w:rPr>
          <w:color w:val="000000" w:themeColor="text1"/>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08" w:name="n124"/>
      <w:bookmarkEnd w:id="108"/>
      <w:r w:rsidRPr="00AF61C2">
        <w:rPr>
          <w:color w:val="000000" w:themeColor="text1"/>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09" w:name="n125"/>
      <w:bookmarkEnd w:id="109"/>
      <w:r w:rsidRPr="00AF61C2">
        <w:rPr>
          <w:color w:val="000000" w:themeColor="text1"/>
        </w:rPr>
        <w:t>4. Формою роботи комісії є засідання, які проводяться у разі потреби. Дату, час і місце проведення засідання комісії визначає її голова.</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10" w:name="n126"/>
      <w:bookmarkEnd w:id="110"/>
      <w:r w:rsidRPr="00AF61C2">
        <w:rPr>
          <w:color w:val="000000" w:themeColor="text1"/>
        </w:rPr>
        <w:t>5. Засідання комісії є правоможним у разі участі в ньому не менш як двох третин її складу.</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11" w:name="n127"/>
      <w:bookmarkEnd w:id="111"/>
      <w:r w:rsidRPr="00AF61C2">
        <w:rPr>
          <w:color w:val="000000" w:themeColor="text1"/>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12" w:name="n128"/>
      <w:bookmarkEnd w:id="112"/>
      <w:r w:rsidRPr="00AF61C2">
        <w:rPr>
          <w:color w:val="000000" w:themeColor="text1"/>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13" w:name="n129"/>
      <w:bookmarkEnd w:id="113"/>
      <w:r w:rsidRPr="00AF61C2">
        <w:rPr>
          <w:color w:val="000000" w:themeColor="text1"/>
        </w:rPr>
        <w:t>8. Під час проведення засідання комісії секретар комісії веде протокол засідання комісії за формою згідно з </w:t>
      </w:r>
      <w:hyperlink r:id="rId12" w:anchor="n181" w:history="1">
        <w:r w:rsidRPr="00AF61C2">
          <w:rPr>
            <w:rStyle w:val="a3"/>
            <w:color w:val="000000" w:themeColor="text1"/>
          </w:rPr>
          <w:t>додатком</w:t>
        </w:r>
      </w:hyperlink>
      <w:r w:rsidRPr="00AF61C2">
        <w:rPr>
          <w:color w:val="000000" w:themeColor="text1"/>
        </w:rPr>
        <w:t> до цього Порядку, що оформлюється наказом керівника закладу освіти.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14" w:name="n130"/>
      <w:bookmarkEnd w:id="114"/>
      <w:r w:rsidRPr="00AF61C2">
        <w:rPr>
          <w:color w:val="000000" w:themeColor="text1"/>
        </w:rPr>
        <w:lastRenderedPageBreak/>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15" w:name="n131"/>
      <w:bookmarkEnd w:id="115"/>
      <w:r w:rsidRPr="00AF61C2">
        <w:rPr>
          <w:color w:val="000000" w:themeColor="text1"/>
        </w:rPr>
        <w:t>Особи, залучені до участі в засіданні комісії, під час засідання комісії мають право:</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16" w:name="n132"/>
      <w:bookmarkEnd w:id="116"/>
      <w:r w:rsidRPr="00AF61C2">
        <w:rPr>
          <w:color w:val="000000" w:themeColor="text1"/>
        </w:rPr>
        <w:t>ознайомлюватися з матеріалами, поданими на розгляд комісії;</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17" w:name="n133"/>
      <w:bookmarkEnd w:id="117"/>
      <w:r w:rsidRPr="00AF61C2">
        <w:rPr>
          <w:color w:val="000000" w:themeColor="text1"/>
        </w:rPr>
        <w:t>ставити питання по суті розгляду;</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18" w:name="n134"/>
      <w:bookmarkEnd w:id="118"/>
      <w:r w:rsidRPr="00AF61C2">
        <w:rPr>
          <w:color w:val="000000" w:themeColor="text1"/>
        </w:rPr>
        <w:t>подавати пропозиції, висловлювати власну думку з питань, що розглядаються.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19" w:name="n135"/>
      <w:bookmarkEnd w:id="119"/>
      <w:r w:rsidRPr="00AF61C2">
        <w:rPr>
          <w:color w:val="000000" w:themeColor="text1"/>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20" w:name="n136"/>
      <w:bookmarkEnd w:id="120"/>
      <w:r w:rsidRPr="00AF61C2">
        <w:rPr>
          <w:color w:val="000000" w:themeColor="text1"/>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DA7FF2" w:rsidRDefault="00DA7FF2" w:rsidP="00DA7FF2">
      <w:pPr>
        <w:pStyle w:val="rvps7"/>
        <w:shd w:val="clear" w:color="auto" w:fill="FFFFFF"/>
        <w:spacing w:before="150" w:beforeAutospacing="0" w:after="150" w:afterAutospacing="0" w:line="360" w:lineRule="auto"/>
        <w:ind w:left="450" w:right="450" w:firstLine="709"/>
        <w:jc w:val="center"/>
        <w:rPr>
          <w:rStyle w:val="rvts15"/>
          <w:b/>
          <w:bCs/>
          <w:color w:val="000000" w:themeColor="text1"/>
          <w:sz w:val="28"/>
          <w:szCs w:val="28"/>
        </w:rPr>
      </w:pPr>
      <w:bookmarkStart w:id="121" w:name="n137"/>
      <w:bookmarkEnd w:id="121"/>
    </w:p>
    <w:p w:rsidR="00AF61C2" w:rsidRPr="00DA7FF2" w:rsidRDefault="00AF61C2" w:rsidP="00DA7FF2">
      <w:pPr>
        <w:pStyle w:val="rvps7"/>
        <w:shd w:val="clear" w:color="auto" w:fill="FFFFFF"/>
        <w:spacing w:before="150" w:beforeAutospacing="0" w:after="150" w:afterAutospacing="0" w:line="360" w:lineRule="auto"/>
        <w:ind w:left="450" w:right="450" w:firstLine="709"/>
        <w:jc w:val="center"/>
        <w:rPr>
          <w:color w:val="000000" w:themeColor="text1"/>
          <w:sz w:val="28"/>
          <w:szCs w:val="28"/>
        </w:rPr>
      </w:pPr>
      <w:r w:rsidRPr="00DA7FF2">
        <w:rPr>
          <w:rStyle w:val="rvts15"/>
          <w:b/>
          <w:bCs/>
          <w:color w:val="000000" w:themeColor="text1"/>
          <w:sz w:val="28"/>
          <w:szCs w:val="28"/>
        </w:rPr>
        <w:t>V. Запобігання та протидія булінгу (цькуванню) в закладі освіти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22" w:name="n138"/>
      <w:bookmarkEnd w:id="122"/>
      <w:r w:rsidRPr="00AF61C2">
        <w:rPr>
          <w:color w:val="000000" w:themeColor="text1"/>
        </w:rPr>
        <w:t>1. Діяльність щодо запобігання та протидії булінгу (цькуванню) в закладі освіти має бути постійним системним процесом, спрямованим на:</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23" w:name="n139"/>
      <w:bookmarkEnd w:id="123"/>
      <w:r w:rsidRPr="00AF61C2">
        <w:rPr>
          <w:color w:val="000000" w:themeColor="text1"/>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24" w:name="n140"/>
      <w:bookmarkEnd w:id="124"/>
      <w:r w:rsidRPr="00AF61C2">
        <w:rPr>
          <w:color w:val="000000" w:themeColor="text1"/>
        </w:rPr>
        <w:t>виявлення булінгу (цькування) та (або) потенційних ризиків його виникнення;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25" w:name="n141"/>
      <w:bookmarkEnd w:id="125"/>
      <w:r w:rsidRPr="00AF61C2">
        <w:rPr>
          <w:color w:val="000000" w:themeColor="text1"/>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26" w:name="n142"/>
      <w:bookmarkEnd w:id="126"/>
      <w:r w:rsidRPr="00AF61C2">
        <w:rPr>
          <w:color w:val="000000" w:themeColor="text1"/>
        </w:rPr>
        <w:t>2. Діяльність щодо запобігання та протидії булінгу (цькуванню) в закладі освіти ґрунтується на принципах:</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27" w:name="n143"/>
      <w:bookmarkEnd w:id="127"/>
      <w:r w:rsidRPr="00AF61C2">
        <w:rPr>
          <w:color w:val="000000" w:themeColor="text1"/>
        </w:rPr>
        <w:t>недискримінації за будь-якими ознаками;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28" w:name="n144"/>
      <w:bookmarkEnd w:id="128"/>
      <w:r w:rsidRPr="00AF61C2">
        <w:rPr>
          <w:color w:val="000000" w:themeColor="text1"/>
        </w:rPr>
        <w:t>ненасильницької поведінки в міжособистісних стосунках;</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29" w:name="n145"/>
      <w:bookmarkEnd w:id="129"/>
      <w:r w:rsidRPr="00AF61C2">
        <w:rPr>
          <w:color w:val="000000" w:themeColor="text1"/>
        </w:rPr>
        <w:lastRenderedPageBreak/>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30" w:name="n146"/>
      <w:bookmarkEnd w:id="130"/>
      <w:r w:rsidRPr="00AF61C2">
        <w:rPr>
          <w:color w:val="000000" w:themeColor="text1"/>
        </w:rPr>
        <w:t>особистісно-орієнтованого підходу до кожної дитини;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31" w:name="n147"/>
      <w:bookmarkEnd w:id="131"/>
      <w:r w:rsidRPr="00AF61C2">
        <w:rPr>
          <w:color w:val="000000" w:themeColor="text1"/>
        </w:rPr>
        <w:t>розвитку соціального та емоційного інтелекту учасників освітнього процесу;</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32" w:name="n148"/>
      <w:bookmarkEnd w:id="132"/>
      <w:r w:rsidRPr="00AF61C2">
        <w:rPr>
          <w:color w:val="000000" w:themeColor="text1"/>
        </w:rPr>
        <w:t>гендерної рівності;</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33" w:name="n149"/>
      <w:bookmarkEnd w:id="133"/>
      <w:r w:rsidRPr="00AF61C2">
        <w:rPr>
          <w:color w:val="000000" w:themeColor="text1"/>
        </w:rPr>
        <w:t>участі учасників освітнього процесу в прийнятті рішень відповідно до положень законодавства та установчих документів закладу освіти.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34" w:name="n150"/>
      <w:bookmarkEnd w:id="134"/>
      <w:r w:rsidRPr="00AF61C2">
        <w:rPr>
          <w:color w:val="000000" w:themeColor="text1"/>
        </w:rPr>
        <w:t>3. Завданнями діяльності щодо запобігання та протидії булінгу (цькуванню) в закладі освіти є:</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35" w:name="n151"/>
      <w:bookmarkEnd w:id="135"/>
      <w:r w:rsidRPr="00AF61C2">
        <w:rPr>
          <w:color w:val="000000" w:themeColor="text1"/>
        </w:rPr>
        <w:t>створення безпечного освітнього середовища в закладі освіти, що включає психологічну та фізичну безпеку учасників освітнього процесу;</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36" w:name="n152"/>
      <w:bookmarkEnd w:id="136"/>
      <w:r w:rsidRPr="00AF61C2">
        <w:rPr>
          <w:color w:val="000000" w:themeColor="text1"/>
        </w:rPr>
        <w:t>визначення стану, причин і передумов поширення булінгу (цькування) в закладі освіти;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37" w:name="n153"/>
      <w:bookmarkEnd w:id="137"/>
      <w:r w:rsidRPr="00AF61C2">
        <w:rPr>
          <w:color w:val="000000" w:themeColor="text1"/>
        </w:rPr>
        <w:t>підвищення рівня поінформованості учасників освітнього процесу про булінг (цькування);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38" w:name="n154"/>
      <w:bookmarkEnd w:id="138"/>
      <w:r w:rsidRPr="00AF61C2">
        <w:rPr>
          <w:color w:val="000000" w:themeColor="text1"/>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39" w:name="n155"/>
      <w:bookmarkEnd w:id="139"/>
      <w:r w:rsidRPr="00AF61C2">
        <w:rPr>
          <w:color w:val="000000" w:themeColor="text1"/>
        </w:rPr>
        <w:t>заохочення всіх учасників освітнього процесу до активного сприяння запобіганню булінгу (цькуванню).</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40" w:name="n156"/>
      <w:bookmarkEnd w:id="140"/>
      <w:r w:rsidRPr="00AF61C2">
        <w:rPr>
          <w:color w:val="000000" w:themeColor="text1"/>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41" w:name="n157"/>
      <w:bookmarkEnd w:id="141"/>
      <w:r w:rsidRPr="00AF61C2">
        <w:rPr>
          <w:color w:val="000000" w:themeColor="text1"/>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42" w:name="n158"/>
      <w:bookmarkEnd w:id="142"/>
      <w:r w:rsidRPr="00AF61C2">
        <w:rPr>
          <w:color w:val="000000" w:themeColor="text1"/>
        </w:rPr>
        <w:t>Планування відповідних заходів здійснюється за результатами моніторингу стану освітнього середовища в закладі освіти.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43" w:name="n159"/>
      <w:bookmarkEnd w:id="143"/>
      <w:r w:rsidRPr="00AF61C2">
        <w:rPr>
          <w:color w:val="000000" w:themeColor="text1"/>
        </w:rPr>
        <w:lastRenderedPageBreak/>
        <w:t>Заплановані заходи повинні:</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44" w:name="n160"/>
      <w:bookmarkEnd w:id="144"/>
      <w:r w:rsidRPr="00AF61C2">
        <w:rPr>
          <w:color w:val="000000" w:themeColor="text1"/>
        </w:rPr>
        <w:t>спрямовуватись на задоволення потреб окремого закладу освіти у створенні безпечного освітнього середовища;</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45" w:name="n161"/>
      <w:bookmarkEnd w:id="145"/>
      <w:r w:rsidRPr="00AF61C2">
        <w:rPr>
          <w:color w:val="000000" w:themeColor="text1"/>
        </w:rPr>
        <w:t>мати вимірювані показники ефективності;</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46" w:name="n162"/>
      <w:bookmarkEnd w:id="146"/>
      <w:r w:rsidRPr="00AF61C2">
        <w:rPr>
          <w:color w:val="000000" w:themeColor="text1"/>
        </w:rPr>
        <w:t>залучати всіх учасників освітнього процесу.</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47" w:name="n163"/>
      <w:bookmarkEnd w:id="147"/>
      <w:r w:rsidRPr="00AF61C2">
        <w:rPr>
          <w:color w:val="000000" w:themeColor="text1"/>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48" w:name="n164"/>
      <w:bookmarkEnd w:id="148"/>
      <w:r w:rsidRPr="00AF61C2">
        <w:rPr>
          <w:color w:val="000000" w:themeColor="text1"/>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49" w:name="n165"/>
      <w:bookmarkEnd w:id="149"/>
      <w:r w:rsidRPr="00AF61C2">
        <w:rPr>
          <w:color w:val="000000" w:themeColor="text1"/>
        </w:rPr>
        <w:t>5. До заходів, спрямованих на запобігання та протидію булінгу (цькуванню) в закладі освіти, належать заходи щодо:</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50" w:name="n166"/>
      <w:bookmarkEnd w:id="150"/>
      <w:r w:rsidRPr="00AF61C2">
        <w:rPr>
          <w:color w:val="000000" w:themeColor="text1"/>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51" w:name="n167"/>
      <w:bookmarkEnd w:id="151"/>
      <w:r w:rsidRPr="00AF61C2">
        <w:rPr>
          <w:color w:val="000000" w:themeColor="text1"/>
        </w:rPr>
        <w:t>організації безпечного користування мережею Інтернет під час освітнього процесу;</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52" w:name="n168"/>
      <w:bookmarkEnd w:id="152"/>
      <w:r w:rsidRPr="00AF61C2">
        <w:rPr>
          <w:color w:val="000000" w:themeColor="text1"/>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53" w:name="n169"/>
      <w:bookmarkEnd w:id="153"/>
      <w:r w:rsidRPr="00AF61C2">
        <w:rPr>
          <w:color w:val="000000" w:themeColor="text1"/>
        </w:rPr>
        <w:t>розвитку соціального та емоційного інтелекту учасників освітнього процесу, зокрема:</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54" w:name="n170"/>
      <w:bookmarkEnd w:id="154"/>
      <w:r w:rsidRPr="00AF61C2">
        <w:rPr>
          <w:color w:val="000000" w:themeColor="text1"/>
        </w:rPr>
        <w:t>розуміння та сприйняття цінності прав та свобод людини, вміння відстоювати свої права та поважати права інших;</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55" w:name="n171"/>
      <w:bookmarkEnd w:id="155"/>
      <w:r w:rsidRPr="00AF61C2">
        <w:rPr>
          <w:color w:val="000000" w:themeColor="text1"/>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56" w:name="n172"/>
      <w:bookmarkEnd w:id="156"/>
      <w:r w:rsidRPr="00AF61C2">
        <w:rPr>
          <w:color w:val="000000" w:themeColor="text1"/>
        </w:rPr>
        <w:t>здатності попереджувати та розв’язувати конфлікти ненасильницьким шляхом;</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57" w:name="n173"/>
      <w:bookmarkEnd w:id="157"/>
      <w:r w:rsidRPr="00AF61C2">
        <w:rPr>
          <w:color w:val="000000" w:themeColor="text1"/>
        </w:rPr>
        <w:t>відповідального ставлення до своїх громадянських прав і обов’язків, пов’язаних з участю в суспільному житті;</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58" w:name="n174"/>
      <w:bookmarkEnd w:id="158"/>
      <w:r w:rsidRPr="00AF61C2">
        <w:rPr>
          <w:color w:val="000000" w:themeColor="text1"/>
        </w:rPr>
        <w:lastRenderedPageBreak/>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59" w:name="n175"/>
      <w:bookmarkEnd w:id="159"/>
      <w:r w:rsidRPr="00AF61C2">
        <w:rPr>
          <w:color w:val="000000" w:themeColor="text1"/>
        </w:rPr>
        <w:t>здатності критично аналізувати інформацію, розглядати питання з різних позицій, приймати обґрунтовані рішення;</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60" w:name="n176"/>
      <w:bookmarkEnd w:id="160"/>
      <w:r w:rsidRPr="00AF61C2">
        <w:rPr>
          <w:color w:val="000000" w:themeColor="text1"/>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61" w:name="n177"/>
      <w:bookmarkEnd w:id="161"/>
      <w:r w:rsidRPr="00AF61C2">
        <w:rPr>
          <w:color w:val="000000" w:themeColor="text1"/>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AF61C2" w:rsidRPr="00AF61C2" w:rsidRDefault="00AF61C2" w:rsidP="00AF61C2">
      <w:pPr>
        <w:pStyle w:val="rvps2"/>
        <w:shd w:val="clear" w:color="auto" w:fill="FFFFFF"/>
        <w:spacing w:before="0" w:beforeAutospacing="0" w:after="150" w:afterAutospacing="0" w:line="360" w:lineRule="auto"/>
        <w:ind w:firstLine="709"/>
        <w:jc w:val="both"/>
        <w:rPr>
          <w:color w:val="000000" w:themeColor="text1"/>
        </w:rPr>
      </w:pPr>
      <w:bookmarkStart w:id="162" w:name="n178"/>
      <w:bookmarkEnd w:id="162"/>
      <w:r w:rsidRPr="00AF61C2">
        <w:rPr>
          <w:color w:val="000000" w:themeColor="text1"/>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D976B1" w:rsidRPr="00AF61C2" w:rsidRDefault="00D976B1" w:rsidP="00AF61C2">
      <w:pPr>
        <w:spacing w:line="360" w:lineRule="auto"/>
        <w:ind w:firstLine="709"/>
        <w:jc w:val="both"/>
        <w:rPr>
          <w:rFonts w:ascii="Times New Roman" w:hAnsi="Times New Roman" w:cs="Times New Roman"/>
          <w:sz w:val="24"/>
          <w:szCs w:val="24"/>
        </w:rPr>
      </w:pPr>
    </w:p>
    <w:sectPr w:rsidR="00D976B1" w:rsidRPr="00AF6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6F"/>
    <w:rsid w:val="0001409A"/>
    <w:rsid w:val="0052366F"/>
    <w:rsid w:val="007F56B8"/>
    <w:rsid w:val="00AF61C2"/>
    <w:rsid w:val="00D976B1"/>
    <w:rsid w:val="00DA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F6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61C2"/>
    <w:rPr>
      <w:color w:val="0000FF"/>
      <w:u w:val="single"/>
    </w:rPr>
  </w:style>
  <w:style w:type="paragraph" w:customStyle="1" w:styleId="rvps7">
    <w:name w:val="rvps7"/>
    <w:basedOn w:val="a"/>
    <w:rsid w:val="00AF6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F61C2"/>
  </w:style>
  <w:style w:type="paragraph" w:styleId="a4">
    <w:name w:val="List Paragraph"/>
    <w:basedOn w:val="a"/>
    <w:uiPriority w:val="34"/>
    <w:qFormat/>
    <w:rsid w:val="00AF6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F6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61C2"/>
    <w:rPr>
      <w:color w:val="0000FF"/>
      <w:u w:val="single"/>
    </w:rPr>
  </w:style>
  <w:style w:type="paragraph" w:customStyle="1" w:styleId="rvps7">
    <w:name w:val="rvps7"/>
    <w:basedOn w:val="a"/>
    <w:rsid w:val="00AF6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F61C2"/>
  </w:style>
  <w:style w:type="paragraph" w:styleId="a4">
    <w:name w:val="List Paragraph"/>
    <w:basedOn w:val="a"/>
    <w:uiPriority w:val="34"/>
    <w:qFormat/>
    <w:rsid w:val="00AF6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169">
      <w:bodyDiv w:val="1"/>
      <w:marLeft w:val="0"/>
      <w:marRight w:val="0"/>
      <w:marTop w:val="0"/>
      <w:marBottom w:val="0"/>
      <w:divBdr>
        <w:top w:val="none" w:sz="0" w:space="0" w:color="auto"/>
        <w:left w:val="none" w:sz="0" w:space="0" w:color="auto"/>
        <w:bottom w:val="none" w:sz="0" w:space="0" w:color="auto"/>
        <w:right w:val="none" w:sz="0" w:space="0" w:color="auto"/>
      </w:divBdr>
      <w:divsChild>
        <w:div w:id="1616329900">
          <w:marLeft w:val="0"/>
          <w:marRight w:val="0"/>
          <w:marTop w:val="0"/>
          <w:marBottom w:val="0"/>
          <w:divBdr>
            <w:top w:val="none" w:sz="0" w:space="0" w:color="auto"/>
            <w:left w:val="none" w:sz="0" w:space="0" w:color="auto"/>
            <w:bottom w:val="none" w:sz="0" w:space="0" w:color="auto"/>
            <w:right w:val="none" w:sz="0" w:space="0" w:color="auto"/>
          </w:divBdr>
        </w:div>
      </w:divsChild>
    </w:div>
    <w:div w:id="13482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HM6Ly96YWtvbi5yYWRhLmdvdi51YS9sYXdzL3Nob3cvMjg2Ni0xN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lada.pp.ua/goto/aHR0cHM6Ly96YWtvbi5yYWRhLmdvdi51YS9sYXdzL3Nob3cvMjU1OC0xNA==/" TargetMode="External"/><Relationship Id="rId12" Type="http://schemas.openxmlformats.org/officeDocument/2006/relationships/hyperlink" Target="https://zakon.rada.gov.ua/laws/show/z011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lada.pp.ua/goto/aHR0cHM6Ly96YWtvbi5yYWRhLmdvdi51YS9sYXdzL3Nob3cvMjY3MS0xOQ==/" TargetMode="External"/><Relationship Id="rId11" Type="http://schemas.openxmlformats.org/officeDocument/2006/relationships/hyperlink" Target="https://zakon.rada.gov.ua/laws/show/2297-17" TargetMode="External"/><Relationship Id="rId5" Type="http://schemas.openxmlformats.org/officeDocument/2006/relationships/hyperlink" Target="http://vlada.pp.ua/goto/aHR0cHM6Ly96YWtvbi5yYWRhLmdvdi51YS9sYXdzL3Nob3cvMjE0NS0xOQ==/" TargetMode="External"/><Relationship Id="rId10" Type="http://schemas.openxmlformats.org/officeDocument/2006/relationships/hyperlink" Target="https://zakon.rada.gov.ua/laws/show/2657-12" TargetMode="External"/><Relationship Id="rId4" Type="http://schemas.openxmlformats.org/officeDocument/2006/relationships/webSettings" Target="webSettings.xml"/><Relationship Id="rId9" Type="http://schemas.openxmlformats.org/officeDocument/2006/relationships/hyperlink" Target="http://vlada.pp.ua/goto/aHR0cHM6Ly96YWtvbi5yYWRhLmdvdi51YS9sYXdzL3Nob3cvNTIwNy0xN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3168</Words>
  <Characters>18061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444</cp:lastModifiedBy>
  <cp:revision>4</cp:revision>
  <dcterms:created xsi:type="dcterms:W3CDTF">2020-12-22T06:25:00Z</dcterms:created>
  <dcterms:modified xsi:type="dcterms:W3CDTF">2020-12-22T06:48:00Z</dcterms:modified>
</cp:coreProperties>
</file>